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E7622" w14:textId="24F2F247" w:rsidR="00841503" w:rsidRPr="00FC67BC" w:rsidRDefault="00841503" w:rsidP="00841503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 w:themeColor="text1"/>
        </w:rPr>
        <w:t>Riesgo de E</w:t>
      </w:r>
      <w:r w:rsidRPr="00FC67BC">
        <w:rPr>
          <w:rFonts w:ascii="Arial" w:hAnsi="Arial" w:cs="Arial"/>
          <w:b/>
          <w:bCs/>
          <w:color w:val="000000" w:themeColor="text1"/>
        </w:rPr>
        <w:t xml:space="preserve">ventos </w:t>
      </w:r>
      <w:r>
        <w:rPr>
          <w:rFonts w:ascii="Arial" w:hAnsi="Arial" w:cs="Arial"/>
          <w:b/>
          <w:bCs/>
          <w:color w:val="000000" w:themeColor="text1"/>
        </w:rPr>
        <w:t>A</w:t>
      </w:r>
      <w:r w:rsidRPr="00FC67BC">
        <w:rPr>
          <w:rFonts w:ascii="Arial" w:hAnsi="Arial" w:cs="Arial"/>
          <w:b/>
          <w:bCs/>
          <w:color w:val="000000" w:themeColor="text1"/>
        </w:rPr>
        <w:t xml:space="preserve">dversos con el </w:t>
      </w:r>
      <w:r>
        <w:rPr>
          <w:rFonts w:ascii="Arial" w:hAnsi="Arial" w:cs="Arial"/>
          <w:b/>
          <w:bCs/>
          <w:color w:val="000000" w:themeColor="text1"/>
        </w:rPr>
        <w:t>U</w:t>
      </w:r>
      <w:r w:rsidRPr="00FC67BC">
        <w:rPr>
          <w:rFonts w:ascii="Arial" w:hAnsi="Arial" w:cs="Arial"/>
          <w:b/>
          <w:bCs/>
          <w:color w:val="000000" w:themeColor="text1"/>
        </w:rPr>
        <w:t xml:space="preserve">so de la </w:t>
      </w:r>
      <w:r w:rsidRPr="00FC67BC">
        <w:rPr>
          <w:rFonts w:ascii="Arial" w:hAnsi="Arial" w:cs="Arial"/>
          <w:b/>
          <w:bCs/>
        </w:rPr>
        <w:t xml:space="preserve">Hidroxicloroquina en </w:t>
      </w:r>
      <w:r>
        <w:rPr>
          <w:rFonts w:ascii="Arial" w:hAnsi="Arial" w:cs="Arial"/>
          <w:b/>
          <w:bCs/>
        </w:rPr>
        <w:t>P</w:t>
      </w:r>
      <w:r w:rsidRPr="00FC67BC">
        <w:rPr>
          <w:rFonts w:ascii="Arial" w:hAnsi="Arial" w:cs="Arial"/>
          <w:b/>
          <w:bCs/>
        </w:rPr>
        <w:t xml:space="preserve">acientes </w:t>
      </w:r>
      <w:r w:rsidRPr="00FC67BC">
        <w:rPr>
          <w:rFonts w:ascii="Arial" w:hAnsi="Arial" w:cs="Arial"/>
          <w:b/>
        </w:rPr>
        <w:t xml:space="preserve">con </w:t>
      </w:r>
      <w:r w:rsidR="0043208F" w:rsidRPr="00FC67BC">
        <w:rPr>
          <w:rFonts w:ascii="Arial" w:hAnsi="Arial" w:cs="Arial"/>
          <w:b/>
        </w:rPr>
        <w:t>infección</w:t>
      </w:r>
      <w:r w:rsidRPr="00FC67BC">
        <w:rPr>
          <w:rFonts w:ascii="Arial" w:hAnsi="Arial" w:cs="Arial"/>
          <w:b/>
        </w:rPr>
        <w:t xml:space="preserve"> COVID-19</w:t>
      </w:r>
    </w:p>
    <w:p w14:paraId="3776D4B0" w14:textId="1E7C5507" w:rsidR="00841503" w:rsidRPr="006F35D9" w:rsidRDefault="00841503" w:rsidP="00841503">
      <w:pPr>
        <w:jc w:val="both"/>
        <w:rPr>
          <w:rFonts w:ascii="Arial" w:hAnsi="Arial" w:cs="Arial"/>
          <w:vertAlign w:val="superscript"/>
        </w:rPr>
      </w:pPr>
      <w:r w:rsidRPr="006F35D9">
        <w:rPr>
          <w:rFonts w:ascii="Arial" w:hAnsi="Arial" w:cs="Arial"/>
        </w:rPr>
        <w:t>La hidroxicloroquina es un medicamento antipalúdico ampliamente utilizado que</w:t>
      </w:r>
      <w:r>
        <w:rPr>
          <w:rFonts w:ascii="Arial" w:hAnsi="Arial" w:cs="Arial"/>
        </w:rPr>
        <w:t xml:space="preserve"> posee</w:t>
      </w:r>
      <w:r w:rsidRPr="006F35D9">
        <w:rPr>
          <w:rFonts w:ascii="Arial" w:hAnsi="Arial" w:cs="Arial"/>
        </w:rPr>
        <w:t xml:space="preserve"> efectos inmunomoduladores y, por lo tanto, también se usa para tratar afecciones autoinmunes (por ejemplo, lupus eritematoso sistémico, artritis reumatoide)</w:t>
      </w:r>
      <w:r w:rsidRPr="006F35D9">
        <w:rPr>
          <w:rFonts w:ascii="Arial" w:hAnsi="Arial" w:cs="Arial"/>
          <w:vertAlign w:val="superscript"/>
        </w:rPr>
        <w:t>1</w:t>
      </w:r>
    </w:p>
    <w:p w14:paraId="64CA31B6" w14:textId="1FAF94B1" w:rsidR="00841503" w:rsidRPr="00FC67BC" w:rsidRDefault="00841503" w:rsidP="00841503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FC67BC">
        <w:rPr>
          <w:rFonts w:ascii="Arial" w:hAnsi="Arial" w:cs="Arial"/>
          <w:iCs/>
        </w:rPr>
        <w:t xml:space="preserve">La </w:t>
      </w:r>
      <w:r w:rsidRPr="00244352">
        <w:rPr>
          <w:rFonts w:ascii="Arial" w:hAnsi="Arial" w:cs="Arial"/>
          <w:iCs/>
        </w:rPr>
        <w:t xml:space="preserve">actividad de la hidroxcloroquina </w:t>
      </w:r>
      <w:r w:rsidRPr="00244352">
        <w:rPr>
          <w:rFonts w:ascii="Arial" w:hAnsi="Arial" w:cs="Arial"/>
        </w:rPr>
        <w:t>contra SARS-CoV-2 ha sido demostrada in vitro</w:t>
      </w:r>
      <w:r w:rsidRPr="00244352">
        <w:rPr>
          <w:rFonts w:ascii="Arial" w:hAnsi="Arial" w:cs="Arial"/>
          <w:vertAlign w:val="superscript"/>
        </w:rPr>
        <w:t>2</w:t>
      </w:r>
      <w:r w:rsidRPr="00244352">
        <w:rPr>
          <w:rFonts w:ascii="Arial" w:hAnsi="Arial" w:cs="Arial"/>
        </w:rPr>
        <w:t xml:space="preserve">. Actualmente se encuentran registrados en la base de datos de </w:t>
      </w:r>
      <w:r w:rsidRPr="00244352">
        <w:rPr>
          <w:rFonts w:ascii="Arial" w:hAnsi="Arial" w:cs="Arial"/>
          <w:i/>
          <w:iCs/>
        </w:rPr>
        <w:t xml:space="preserve">clinicaltrialsl.gov </w:t>
      </w:r>
      <w:r w:rsidRPr="00244352">
        <w:rPr>
          <w:rFonts w:ascii="Arial" w:hAnsi="Arial" w:cs="Arial"/>
        </w:rPr>
        <w:t xml:space="preserve">de los Estados Unidos, para evaluar la utilidad de hidroxicloroquina en pacientes con esta </w:t>
      </w:r>
      <w:r w:rsidR="0043208F" w:rsidRPr="00244352">
        <w:rPr>
          <w:rFonts w:ascii="Arial" w:hAnsi="Arial" w:cs="Arial"/>
        </w:rPr>
        <w:t>infección</w:t>
      </w:r>
      <w:r w:rsidRPr="00244352">
        <w:rPr>
          <w:rFonts w:ascii="Arial" w:hAnsi="Arial" w:cs="Arial"/>
        </w:rPr>
        <w:t xml:space="preserve">, 250 estudios </w:t>
      </w:r>
      <w:r w:rsidR="0043208F" w:rsidRPr="00244352">
        <w:rPr>
          <w:rFonts w:ascii="Arial" w:hAnsi="Arial" w:cs="Arial"/>
        </w:rPr>
        <w:t>clínicos</w:t>
      </w:r>
      <w:r w:rsidRPr="00244352">
        <w:rPr>
          <w:rFonts w:ascii="Arial" w:hAnsi="Arial" w:cs="Arial"/>
        </w:rPr>
        <w:t xml:space="preserve"> y de estos  en la fase 3 se encuentran 110</w:t>
      </w:r>
      <w:r w:rsidRPr="00244352">
        <w:rPr>
          <w:rFonts w:ascii="Arial" w:hAnsi="Arial" w:cs="Arial"/>
          <w:vertAlign w:val="superscript"/>
        </w:rPr>
        <w:t>3</w:t>
      </w:r>
      <w:r w:rsidRPr="00244352">
        <w:rPr>
          <w:rFonts w:ascii="Arial" w:hAnsi="Arial" w:cs="Arial"/>
        </w:rPr>
        <w:t xml:space="preserve">.  La evidencia de los ensayos </w:t>
      </w:r>
      <w:r w:rsidR="0043208F" w:rsidRPr="00244352">
        <w:rPr>
          <w:rFonts w:ascii="Arial" w:hAnsi="Arial" w:cs="Arial"/>
        </w:rPr>
        <w:t>clínicos</w:t>
      </w:r>
      <w:r w:rsidRPr="00244352">
        <w:rPr>
          <w:rFonts w:ascii="Arial" w:hAnsi="Arial" w:cs="Arial"/>
        </w:rPr>
        <w:t xml:space="preserve"> hasta el momento, no ha demostrado beneficios ya sea como tratamiento o como profilaxis</w:t>
      </w:r>
      <w:r w:rsidR="007932D3">
        <w:rPr>
          <w:rFonts w:ascii="Arial" w:hAnsi="Arial" w:cs="Arial"/>
          <w:vertAlign w:val="superscript"/>
        </w:rPr>
        <w:t>1</w:t>
      </w:r>
      <w:r w:rsidRPr="00244352">
        <w:rPr>
          <w:rFonts w:ascii="Arial" w:hAnsi="Arial" w:cs="Arial"/>
        </w:rPr>
        <w:t>.</w:t>
      </w:r>
      <w:r w:rsidRPr="00244352">
        <w:rPr>
          <w:rFonts w:ascii="Arial" w:hAnsi="Arial" w:cs="Arial"/>
          <w:sz w:val="22"/>
          <w:szCs w:val="22"/>
        </w:rPr>
        <w:t xml:space="preserve"> </w:t>
      </w:r>
    </w:p>
    <w:p w14:paraId="3BE201C9" w14:textId="3B32C81C" w:rsidR="00841503" w:rsidRDefault="00841503" w:rsidP="00841503">
      <w:pPr>
        <w:spacing w:before="100" w:beforeAutospacing="1" w:after="100" w:afterAutospacing="1"/>
        <w:jc w:val="both"/>
        <w:rPr>
          <w:rFonts w:ascii="Arial" w:hAnsi="Arial" w:cs="Arial"/>
          <w:iCs/>
        </w:rPr>
      </w:pPr>
      <w:r w:rsidRPr="00FC67BC">
        <w:rPr>
          <w:rFonts w:ascii="Arial" w:hAnsi="Arial" w:cs="Arial"/>
        </w:rPr>
        <w:t>La Administración de Drogas y Alimentos</w:t>
      </w:r>
      <w:r w:rsidR="007932D3">
        <w:rPr>
          <w:rFonts w:ascii="Arial" w:hAnsi="Arial" w:cs="Arial"/>
          <w:vertAlign w:val="superscript"/>
        </w:rPr>
        <w:t>4</w:t>
      </w:r>
      <w:r w:rsidRPr="00FC67BC">
        <w:rPr>
          <w:rFonts w:ascii="Arial" w:hAnsi="Arial" w:cs="Arial"/>
        </w:rPr>
        <w:t xml:space="preserve"> (FDA por sus siglas en inglés) de los Estados Unidos, ha emitido tres (3) Comunicados de Seguridad sobre </w:t>
      </w:r>
      <w:r w:rsidRPr="00FC67BC">
        <w:rPr>
          <w:rFonts w:ascii="Arial" w:hAnsi="Arial" w:cs="Arial"/>
          <w:iCs/>
        </w:rPr>
        <w:t xml:space="preserve">el uso de </w:t>
      </w:r>
      <w:r>
        <w:rPr>
          <w:rFonts w:ascii="Arial" w:hAnsi="Arial" w:cs="Arial"/>
          <w:iCs/>
        </w:rPr>
        <w:t>H</w:t>
      </w:r>
      <w:r w:rsidRPr="00FC67BC">
        <w:rPr>
          <w:rFonts w:ascii="Arial" w:hAnsi="Arial" w:cs="Arial"/>
          <w:iCs/>
        </w:rPr>
        <w:t>idroxicloroquina</w:t>
      </w:r>
      <w:r>
        <w:rPr>
          <w:rFonts w:ascii="Arial" w:hAnsi="Arial" w:cs="Arial"/>
          <w:iCs/>
        </w:rPr>
        <w:t xml:space="preserve"> en pacientes infectados con COVID-19. </w:t>
      </w:r>
      <w:r w:rsidRPr="00FC67BC">
        <w:rPr>
          <w:rFonts w:ascii="Arial" w:hAnsi="Arial" w:cs="Arial"/>
          <w:iCs/>
        </w:rPr>
        <w:t xml:space="preserve"> En el primero advertía  sobre el riesgo de arritmias graves, incluida la prolongación del intervalo QT y no recomendaba su uso para el tratamiento de pacientes ambulatorios, </w:t>
      </w:r>
      <w:r>
        <w:rPr>
          <w:rFonts w:ascii="Arial" w:hAnsi="Arial" w:cs="Arial"/>
          <w:iCs/>
        </w:rPr>
        <w:t xml:space="preserve">recordando a los profesionales de la salud y también a los pacientes de los riesgos ya conocidos asociados con la hidroxicloroquina (28/4/2020).  </w:t>
      </w:r>
      <w:r w:rsidRPr="00FC67BC">
        <w:rPr>
          <w:rFonts w:ascii="Arial" w:hAnsi="Arial" w:cs="Arial"/>
          <w:iCs/>
        </w:rPr>
        <w:t xml:space="preserve">Posteriormente revoca la autorización </w:t>
      </w:r>
      <w:r w:rsidRPr="00FC67BC">
        <w:rPr>
          <w:rFonts w:ascii="Arial" w:hAnsi="Arial" w:cs="Arial"/>
          <w:iCs/>
        </w:rPr>
        <w:t xml:space="preserve">de su uso en emergencia para </w:t>
      </w:r>
      <w:r>
        <w:rPr>
          <w:rFonts w:ascii="Arial" w:hAnsi="Arial" w:cs="Arial"/>
          <w:iCs/>
        </w:rPr>
        <w:t xml:space="preserve">usar hidroxicloroquina en </w:t>
      </w:r>
      <w:r w:rsidRPr="00FC67BC">
        <w:rPr>
          <w:rFonts w:ascii="Arial" w:hAnsi="Arial" w:cs="Arial"/>
          <w:iCs/>
        </w:rPr>
        <w:t xml:space="preserve">pacientes hospitalizados infectados con COVID-19 </w:t>
      </w:r>
      <w:r w:rsidRPr="00FD0279">
        <w:rPr>
          <w:rFonts w:ascii="Arial" w:hAnsi="Arial" w:cs="Arial"/>
          <w:iCs/>
          <w:color w:val="000000" w:themeColor="text1"/>
        </w:rPr>
        <w:t xml:space="preserve">cuando estos no estaban </w:t>
      </w:r>
      <w:r w:rsidR="0043208F" w:rsidRPr="00FD0279">
        <w:rPr>
          <w:rFonts w:ascii="Arial" w:hAnsi="Arial" w:cs="Arial"/>
          <w:iCs/>
          <w:color w:val="000000" w:themeColor="text1"/>
        </w:rPr>
        <w:t>incluidos</w:t>
      </w:r>
      <w:r w:rsidRPr="00FD0279">
        <w:rPr>
          <w:rFonts w:ascii="Arial" w:hAnsi="Arial" w:cs="Arial"/>
          <w:iCs/>
          <w:color w:val="000000" w:themeColor="text1"/>
        </w:rPr>
        <w:t xml:space="preserve"> en un ensayo clínico o en aquellos casos de participación no aprobada, </w:t>
      </w:r>
      <w:r w:rsidRPr="00901025">
        <w:rPr>
          <w:rFonts w:ascii="Arial" w:hAnsi="Arial" w:cs="Arial"/>
          <w:iCs/>
        </w:rPr>
        <w:t xml:space="preserve">en base </w:t>
      </w:r>
      <w:r>
        <w:rPr>
          <w:rFonts w:ascii="Arial" w:hAnsi="Arial" w:cs="Arial"/>
          <w:iCs/>
        </w:rPr>
        <w:t xml:space="preserve">a evidencias científicas </w:t>
      </w:r>
      <w:r w:rsidRPr="00901025">
        <w:rPr>
          <w:rFonts w:ascii="Arial" w:hAnsi="Arial" w:cs="Arial"/>
          <w:iCs/>
        </w:rPr>
        <w:t xml:space="preserve">que </w:t>
      </w:r>
      <w:r>
        <w:rPr>
          <w:rFonts w:ascii="Arial" w:hAnsi="Arial" w:cs="Arial"/>
          <w:iCs/>
        </w:rPr>
        <w:t xml:space="preserve">señalaban </w:t>
      </w:r>
      <w:r w:rsidRPr="00901025">
        <w:rPr>
          <w:rFonts w:ascii="Arial" w:hAnsi="Arial" w:cs="Arial"/>
          <w:iCs/>
        </w:rPr>
        <w:t>que est</w:t>
      </w:r>
      <w:r>
        <w:rPr>
          <w:rFonts w:ascii="Arial" w:hAnsi="Arial" w:cs="Arial"/>
          <w:iCs/>
        </w:rPr>
        <w:t>e</w:t>
      </w:r>
      <w:r w:rsidRPr="00901025">
        <w:rPr>
          <w:rFonts w:ascii="Arial" w:hAnsi="Arial" w:cs="Arial"/>
          <w:iCs/>
        </w:rPr>
        <w:t xml:space="preserve"> medicamento no mostraba ningún beneficio para disminuir la probabilidad de muerte o acelerar </w:t>
      </w:r>
      <w:r>
        <w:rPr>
          <w:rFonts w:ascii="Arial" w:hAnsi="Arial" w:cs="Arial"/>
          <w:iCs/>
        </w:rPr>
        <w:t>su</w:t>
      </w:r>
      <w:r w:rsidRPr="00901025">
        <w:rPr>
          <w:rFonts w:ascii="Arial" w:hAnsi="Arial" w:cs="Arial"/>
          <w:iCs/>
        </w:rPr>
        <w:t xml:space="preserve"> recuperación</w:t>
      </w:r>
      <w:r>
        <w:rPr>
          <w:rFonts w:ascii="Arial" w:hAnsi="Arial" w:cs="Arial"/>
          <w:iCs/>
        </w:rPr>
        <w:t xml:space="preserve"> </w:t>
      </w:r>
      <w:r w:rsidRPr="00FC67BC">
        <w:rPr>
          <w:rFonts w:ascii="Arial" w:hAnsi="Arial" w:cs="Arial"/>
          <w:iCs/>
        </w:rPr>
        <w:t xml:space="preserve">(15/6/2020). </w:t>
      </w:r>
    </w:p>
    <w:p w14:paraId="686B60B9" w14:textId="5CE4FAF5" w:rsidR="00841503" w:rsidRPr="00FC67BC" w:rsidRDefault="00841503" w:rsidP="00841503">
      <w:pPr>
        <w:spacing w:before="100" w:beforeAutospacing="1" w:after="100" w:afterAutospacing="1"/>
        <w:jc w:val="both"/>
        <w:rPr>
          <w:rFonts w:ascii="Arial" w:hAnsi="Arial" w:cs="Arial"/>
          <w:iCs/>
          <w:vertAlign w:val="subscript"/>
        </w:rPr>
      </w:pPr>
      <w:r w:rsidRPr="00FC67BC">
        <w:rPr>
          <w:rFonts w:ascii="Arial" w:hAnsi="Arial" w:cs="Arial"/>
          <w:iCs/>
        </w:rPr>
        <w:t>El Informe de Farmacovigilancia</w:t>
      </w:r>
      <w:r>
        <w:rPr>
          <w:rFonts w:ascii="Arial" w:hAnsi="Arial" w:cs="Arial"/>
          <w:iCs/>
        </w:rPr>
        <w:t xml:space="preserve">, </w:t>
      </w:r>
      <w:r w:rsidRPr="00FC67BC">
        <w:rPr>
          <w:rFonts w:ascii="Arial" w:hAnsi="Arial" w:cs="Arial"/>
          <w:iCs/>
        </w:rPr>
        <w:t>anunciado por la FDA (01/7/2020) señala reportes severos</w:t>
      </w:r>
      <w:r>
        <w:rPr>
          <w:rFonts w:ascii="Arial" w:hAnsi="Arial" w:cs="Arial"/>
          <w:iCs/>
        </w:rPr>
        <w:t xml:space="preserve"> </w:t>
      </w:r>
      <w:r w:rsidRPr="00FC67BC">
        <w:rPr>
          <w:rFonts w:ascii="Arial" w:hAnsi="Arial" w:cs="Arial"/>
          <w:iCs/>
        </w:rPr>
        <w:t>de problemas del ritmo del corazón</w:t>
      </w:r>
      <w:r>
        <w:rPr>
          <w:rFonts w:ascii="Arial" w:hAnsi="Arial" w:cs="Arial"/>
          <w:iCs/>
        </w:rPr>
        <w:t xml:space="preserve"> (</w:t>
      </w:r>
      <w:r w:rsidRPr="00FC67BC">
        <w:rPr>
          <w:rFonts w:ascii="Arial" w:hAnsi="Arial" w:cs="Arial"/>
          <w:iCs/>
        </w:rPr>
        <w:t>ya conocidos y reportados</w:t>
      </w:r>
      <w:r>
        <w:rPr>
          <w:rFonts w:ascii="Arial" w:hAnsi="Arial" w:cs="Arial"/>
          <w:iCs/>
        </w:rPr>
        <w:t>)</w:t>
      </w:r>
      <w:r w:rsidRPr="00FC67BC">
        <w:rPr>
          <w:rFonts w:ascii="Arial" w:hAnsi="Arial" w:cs="Arial"/>
          <w:iCs/>
        </w:rPr>
        <w:t xml:space="preserve"> y algun</w:t>
      </w:r>
      <w:r>
        <w:rPr>
          <w:rFonts w:ascii="Arial" w:hAnsi="Arial" w:cs="Arial"/>
          <w:iCs/>
        </w:rPr>
        <w:t>a</w:t>
      </w:r>
      <w:r w:rsidRPr="00FC67BC">
        <w:rPr>
          <w:rFonts w:ascii="Arial" w:hAnsi="Arial" w:cs="Arial"/>
          <w:iCs/>
        </w:rPr>
        <w:t xml:space="preserve">s otras situaciones de seguridad </w:t>
      </w:r>
      <w:r>
        <w:rPr>
          <w:rFonts w:ascii="Arial" w:hAnsi="Arial" w:cs="Arial"/>
          <w:iCs/>
        </w:rPr>
        <w:t>desconocidas para este medicamento</w:t>
      </w:r>
      <w:r w:rsidRPr="00FC67BC">
        <w:rPr>
          <w:rFonts w:ascii="Arial" w:hAnsi="Arial" w:cs="Arial"/>
          <w:iCs/>
        </w:rPr>
        <w:t>, incluyendo desó</w:t>
      </w:r>
      <w:r>
        <w:rPr>
          <w:rFonts w:ascii="Arial" w:hAnsi="Arial" w:cs="Arial"/>
          <w:iCs/>
        </w:rPr>
        <w:t>r</w:t>
      </w:r>
      <w:r w:rsidRPr="00FC67BC">
        <w:rPr>
          <w:rFonts w:ascii="Arial" w:hAnsi="Arial" w:cs="Arial"/>
          <w:iCs/>
        </w:rPr>
        <w:t xml:space="preserve">denes de sangre y del sistema linfático y problemas renales y hepáticos (entre ellos, daño renal aguda, falla renal, metahemoglobinemia, edema orofaringea, alucinaciones, psicosis, desórdenes hepatobiliar y </w:t>
      </w:r>
      <w:r w:rsidR="0043208F" w:rsidRPr="00FC67BC">
        <w:rPr>
          <w:rFonts w:ascii="Arial" w:hAnsi="Arial" w:cs="Arial"/>
          <w:iCs/>
        </w:rPr>
        <w:t>desórdenes</w:t>
      </w:r>
      <w:r w:rsidRPr="00FC67BC">
        <w:rPr>
          <w:rFonts w:ascii="Arial" w:hAnsi="Arial" w:cs="Arial"/>
          <w:iCs/>
        </w:rPr>
        <w:t xml:space="preserve"> del sistema musqciloesquelético</w:t>
      </w:r>
      <w:r>
        <w:rPr>
          <w:rFonts w:ascii="Arial" w:hAnsi="Arial" w:cs="Arial"/>
          <w:iCs/>
        </w:rPr>
        <w:t>)</w:t>
      </w:r>
      <w:r w:rsidR="007932D3">
        <w:rPr>
          <w:rFonts w:ascii="Arial" w:hAnsi="Arial" w:cs="Arial"/>
          <w:iCs/>
          <w:vertAlign w:val="superscript"/>
        </w:rPr>
        <w:t>4</w:t>
      </w:r>
      <w:r w:rsidRPr="00FC67BC">
        <w:rPr>
          <w:rFonts w:ascii="Arial" w:hAnsi="Arial" w:cs="Arial"/>
          <w:iCs/>
          <w:vertAlign w:val="subscript"/>
        </w:rPr>
        <w:t>.</w:t>
      </w:r>
    </w:p>
    <w:p w14:paraId="7A6A77D7" w14:textId="73B300E6" w:rsidR="00841503" w:rsidRPr="00FC67BC" w:rsidRDefault="00841503" w:rsidP="00841503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FC67BC">
        <w:rPr>
          <w:rFonts w:ascii="Arial" w:hAnsi="Arial" w:cs="Arial"/>
          <w:iCs/>
        </w:rPr>
        <w:t xml:space="preserve">Algunos ensayos clínicos publicados hasta el momento han reportado </w:t>
      </w:r>
      <w:r>
        <w:rPr>
          <w:rFonts w:ascii="Arial" w:hAnsi="Arial" w:cs="Arial"/>
          <w:iCs/>
        </w:rPr>
        <w:t xml:space="preserve">igualmente </w:t>
      </w:r>
      <w:r w:rsidRPr="00FC67BC">
        <w:rPr>
          <w:rFonts w:ascii="Arial" w:hAnsi="Arial" w:cs="Arial"/>
          <w:iCs/>
        </w:rPr>
        <w:t>la aparición de eventos adversos significativos en pacientes tratados con Hidroxicloroquina</w:t>
      </w:r>
      <w:r w:rsidRPr="00FC67BC">
        <w:rPr>
          <w:rFonts w:ascii="Arial" w:hAnsi="Arial" w:cs="Arial"/>
        </w:rPr>
        <w:t xml:space="preserve"> con </w:t>
      </w:r>
      <w:r w:rsidR="0043208F" w:rsidRPr="00FC67BC">
        <w:rPr>
          <w:rFonts w:ascii="Arial" w:hAnsi="Arial" w:cs="Arial"/>
        </w:rPr>
        <w:t>infección</w:t>
      </w:r>
      <w:r w:rsidRPr="00FC67BC">
        <w:rPr>
          <w:rFonts w:ascii="Arial" w:hAnsi="Arial" w:cs="Arial"/>
        </w:rPr>
        <w:t xml:space="preserve"> COVID-19, sola o en combinación con otros fármacos. Entre estos</w:t>
      </w:r>
      <w:r>
        <w:rPr>
          <w:rFonts w:ascii="Arial" w:hAnsi="Arial" w:cs="Arial"/>
        </w:rPr>
        <w:t xml:space="preserve"> se mencionan</w:t>
      </w:r>
      <w:r w:rsidRPr="00FC67BC">
        <w:rPr>
          <w:rFonts w:ascii="Arial" w:hAnsi="Arial" w:cs="Arial"/>
        </w:rPr>
        <w:t xml:space="preserve">: Retinopatía y otros trastornos oculares (a veces irreversibles, pero generalmente asociados con un uso prolongado), Empeoramiento de la psoriasis y porfiria, Miopatía proximal, Neuropatía, Tendencias suicidas, Aumento en el riesgo de angina/dolor </w:t>
      </w:r>
      <w:r w:rsidR="0043208F" w:rsidRPr="00FC67BC">
        <w:rPr>
          <w:rFonts w:ascii="Arial" w:hAnsi="Arial" w:cs="Arial"/>
        </w:rPr>
        <w:t>torácico</w:t>
      </w:r>
      <w:r w:rsidRPr="00FC67BC">
        <w:rPr>
          <w:rFonts w:ascii="Arial" w:hAnsi="Arial" w:cs="Arial"/>
        </w:rPr>
        <w:t xml:space="preserve"> e insuficiencia </w:t>
      </w:r>
      <w:r w:rsidR="0043208F" w:rsidRPr="00FC67BC">
        <w:rPr>
          <w:rFonts w:ascii="Arial" w:hAnsi="Arial" w:cs="Arial"/>
        </w:rPr>
        <w:t>cardiaca</w:t>
      </w:r>
      <w:r w:rsidRPr="00FC67BC">
        <w:rPr>
          <w:rFonts w:ascii="Arial" w:hAnsi="Arial" w:cs="Arial"/>
        </w:rPr>
        <w:t xml:space="preserve">, anomalías electrolíticas y un doble </w:t>
      </w:r>
      <w:r w:rsidRPr="00FC67BC">
        <w:rPr>
          <w:rFonts w:ascii="Arial" w:hAnsi="Arial" w:cs="Arial"/>
        </w:rPr>
        <w:lastRenderedPageBreak/>
        <w:t>riesgo de mortalidad cardiovascular en el primer mes de tratamiento. Elevación de los niveles de Digoxina y Alteración del efecto de  los medicamentos antiepilépticos</w:t>
      </w:r>
      <w:r w:rsidR="007932D3">
        <w:rPr>
          <w:rFonts w:ascii="Arial" w:hAnsi="Arial" w:cs="Arial"/>
          <w:vertAlign w:val="superscript"/>
        </w:rPr>
        <w:t>1</w:t>
      </w:r>
      <w:r w:rsidRPr="00FC67BC">
        <w:rPr>
          <w:rFonts w:ascii="Arial" w:hAnsi="Arial" w:cs="Arial"/>
          <w:vertAlign w:val="superscript"/>
        </w:rPr>
        <w:t>,</w:t>
      </w:r>
      <w:r w:rsidR="007932D3">
        <w:rPr>
          <w:rFonts w:ascii="Arial" w:hAnsi="Arial" w:cs="Arial"/>
          <w:vertAlign w:val="superscript"/>
        </w:rPr>
        <w:t>2</w:t>
      </w:r>
      <w:r w:rsidRPr="00FC67BC">
        <w:rPr>
          <w:rFonts w:ascii="Arial" w:hAnsi="Arial" w:cs="Arial"/>
        </w:rPr>
        <w:t>.</w:t>
      </w:r>
    </w:p>
    <w:p w14:paraId="61845CC1" w14:textId="77777777" w:rsidR="00841503" w:rsidRPr="00841503" w:rsidRDefault="00841503" w:rsidP="0084150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4"/>
          <w:szCs w:val="24"/>
        </w:rPr>
      </w:pPr>
      <w:r w:rsidRPr="00841503">
        <w:rPr>
          <w:rFonts w:ascii="Arial" w:hAnsi="Arial" w:cs="Arial"/>
          <w:b/>
          <w:bCs/>
          <w:sz w:val="24"/>
          <w:szCs w:val="24"/>
        </w:rPr>
        <w:t>Recomendaciones emitidas sobre el uso de la Hidroxicloroquina en pacientes con COVID-19:</w:t>
      </w:r>
    </w:p>
    <w:p w14:paraId="2DE73673" w14:textId="1F5DABE5" w:rsidR="00841503" w:rsidRPr="00FC67BC" w:rsidRDefault="00841503" w:rsidP="00841503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FC67BC">
        <w:rPr>
          <w:rFonts w:ascii="Arial" w:hAnsi="Arial" w:cs="Arial"/>
        </w:rPr>
        <w:t xml:space="preserve">Usar hidroxicloroquina </w:t>
      </w:r>
      <w:r w:rsidR="0043208F" w:rsidRPr="00FC67BC">
        <w:rPr>
          <w:rFonts w:ascii="Arial" w:hAnsi="Arial" w:cs="Arial"/>
        </w:rPr>
        <w:t>solo</w:t>
      </w:r>
      <w:r w:rsidRPr="00FC67BC">
        <w:rPr>
          <w:rFonts w:ascii="Arial" w:hAnsi="Arial" w:cs="Arial"/>
        </w:rPr>
        <w:t xml:space="preserve"> en el contexto de un ensayo </w:t>
      </w:r>
      <w:r w:rsidR="0043208F" w:rsidRPr="00FC67BC">
        <w:rPr>
          <w:rFonts w:ascii="Arial" w:hAnsi="Arial" w:cs="Arial"/>
        </w:rPr>
        <w:t>clínico</w:t>
      </w:r>
      <w:r w:rsidRPr="00FC67BC">
        <w:rPr>
          <w:rFonts w:ascii="Arial" w:hAnsi="Arial" w:cs="Arial"/>
        </w:rPr>
        <w:t xml:space="preserve">, debido a sus potenciales efectos adversos </w:t>
      </w:r>
      <w:r w:rsidR="0043208F" w:rsidRPr="00FC67BC">
        <w:rPr>
          <w:rFonts w:ascii="Arial" w:hAnsi="Arial" w:cs="Arial"/>
        </w:rPr>
        <w:t>cardiacos</w:t>
      </w:r>
      <w:r w:rsidRPr="00FC67BC">
        <w:rPr>
          <w:rFonts w:ascii="Arial" w:hAnsi="Arial" w:cs="Arial"/>
        </w:rPr>
        <w:t xml:space="preserve"> graves y</w:t>
      </w:r>
      <w:r w:rsidRPr="00576935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los </w:t>
      </w:r>
      <w:r w:rsidR="0043208F" w:rsidRPr="00FC67BC">
        <w:rPr>
          <w:rFonts w:ascii="Arial" w:hAnsi="Arial" w:cs="Arial"/>
          <w:iCs/>
        </w:rPr>
        <w:t>desórdenes</w:t>
      </w:r>
      <w:r w:rsidRPr="00FC67BC">
        <w:rPr>
          <w:rFonts w:ascii="Arial" w:hAnsi="Arial" w:cs="Arial"/>
          <w:iCs/>
        </w:rPr>
        <w:t xml:space="preserve"> de sangre y del sistema linfático</w:t>
      </w:r>
      <w:r>
        <w:rPr>
          <w:rFonts w:ascii="Arial" w:hAnsi="Arial" w:cs="Arial"/>
          <w:iCs/>
        </w:rPr>
        <w:t>,</w:t>
      </w:r>
      <w:r w:rsidRPr="00FC67BC">
        <w:rPr>
          <w:rFonts w:ascii="Arial" w:hAnsi="Arial" w:cs="Arial"/>
          <w:iCs/>
        </w:rPr>
        <w:t xml:space="preserve"> problemas renales y hepáticos</w:t>
      </w:r>
      <w:r w:rsidRPr="00FC67BC">
        <w:rPr>
          <w:rFonts w:ascii="Arial" w:hAnsi="Arial" w:cs="Arial"/>
        </w:rPr>
        <w:t xml:space="preserve">. </w:t>
      </w:r>
    </w:p>
    <w:p w14:paraId="1A20A78E" w14:textId="44827DF5" w:rsidR="00841503" w:rsidRPr="00FC67BC" w:rsidRDefault="00841503" w:rsidP="00841503">
      <w:pPr>
        <w:pStyle w:val="Prrafodelista"/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FC67BC">
        <w:rPr>
          <w:rFonts w:ascii="Arial" w:hAnsi="Arial" w:cs="Arial"/>
        </w:rPr>
        <w:t xml:space="preserve">En el caso que un paciente sea tratado en forma </w:t>
      </w:r>
      <w:r w:rsidR="0043208F" w:rsidRPr="00FC67BC">
        <w:rPr>
          <w:rFonts w:ascii="Arial" w:hAnsi="Arial" w:cs="Arial"/>
        </w:rPr>
        <w:t>extra hospitalaria</w:t>
      </w:r>
      <w:r w:rsidRPr="00FC67BC">
        <w:rPr>
          <w:rFonts w:ascii="Arial" w:hAnsi="Arial" w:cs="Arial"/>
        </w:rPr>
        <w:t xml:space="preserve">, debe ser informado sobre los riesgos de los eventos adversos severos y graves ya documentados y la necesidad de </w:t>
      </w:r>
      <w:r>
        <w:rPr>
          <w:rFonts w:ascii="Arial" w:hAnsi="Arial" w:cs="Arial"/>
        </w:rPr>
        <w:t xml:space="preserve">ser monitorizados estrictamente bajo una atención médica durante su uso para vigilar la aparición </w:t>
      </w:r>
      <w:r w:rsidRPr="00FC67BC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alguno de </w:t>
      </w:r>
      <w:r w:rsidRPr="00FC67BC">
        <w:rPr>
          <w:rFonts w:ascii="Arial" w:hAnsi="Arial" w:cs="Arial"/>
        </w:rPr>
        <w:t xml:space="preserve">los efectos adversos antes mencionados. </w:t>
      </w:r>
    </w:p>
    <w:p w14:paraId="71C8BAE4" w14:textId="77777777" w:rsidR="00841503" w:rsidRPr="00FC67BC" w:rsidRDefault="00841503" w:rsidP="00841503">
      <w:pPr>
        <w:pStyle w:val="Prrafodelista"/>
        <w:numPr>
          <w:ilvl w:val="0"/>
          <w:numId w:val="21"/>
        </w:numPr>
        <w:spacing w:before="100" w:beforeAutospacing="1" w:after="100" w:afterAutospacing="1"/>
        <w:jc w:val="both"/>
        <w:rPr>
          <w:rFonts w:ascii="Arial" w:hAnsi="Arial" w:cs="Arial"/>
        </w:rPr>
      </w:pPr>
      <w:r w:rsidRPr="00FC67BC">
        <w:rPr>
          <w:rFonts w:ascii="Arial" w:hAnsi="Arial" w:cs="Arial"/>
        </w:rPr>
        <w:t>Realizar acciones de farmacovigilancia activa, por parte de los profesionales de la salud.</w:t>
      </w:r>
    </w:p>
    <w:p w14:paraId="35AA8558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0F16B666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01C17246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23780B94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55F7149F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3E93EADC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311926C7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46436365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645752B4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54F218D0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5AF22F94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6F90A02D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1D1E852F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00C5F918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6895B56D" w14:textId="77777777" w:rsid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lang w:val="es-PA"/>
        </w:rPr>
      </w:pPr>
    </w:p>
    <w:p w14:paraId="3CB6A188" w14:textId="525E10CE" w:rsidR="00841503" w:rsidRPr="00841503" w:rsidRDefault="00841503" w:rsidP="00841503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841503">
        <w:rPr>
          <w:rFonts w:ascii="Arial" w:hAnsi="Arial" w:cs="Arial"/>
          <w:sz w:val="24"/>
          <w:szCs w:val="24"/>
          <w:lang w:val="es-PA"/>
        </w:rPr>
        <w:t>Referencias Bibliográficas:</w:t>
      </w:r>
    </w:p>
    <w:p w14:paraId="5699660A" w14:textId="4DDEA000" w:rsidR="007932D3" w:rsidRPr="007932D3" w:rsidRDefault="0043208F" w:rsidP="007932D3">
      <w:pPr>
        <w:pStyle w:val="Prrafodelista"/>
        <w:numPr>
          <w:ilvl w:val="0"/>
          <w:numId w:val="20"/>
        </w:numPr>
        <w:shd w:val="clear" w:color="auto" w:fill="FFFFFF"/>
        <w:ind w:left="714" w:hanging="357"/>
        <w:jc w:val="both"/>
        <w:rPr>
          <w:rFonts w:ascii="Arial" w:hAnsi="Arial" w:cs="Arial"/>
        </w:rPr>
      </w:pPr>
      <w:r w:rsidRPr="00FC67BC">
        <w:rPr>
          <w:rFonts w:ascii="Arial" w:hAnsi="Arial" w:cs="Arial"/>
          <w:color w:val="000000" w:themeColor="text1"/>
        </w:rPr>
        <w:t>Boletín</w:t>
      </w:r>
      <w:r w:rsidR="007932D3" w:rsidRPr="00FC67BC">
        <w:rPr>
          <w:rFonts w:ascii="Arial" w:hAnsi="Arial" w:cs="Arial"/>
          <w:color w:val="000000" w:themeColor="text1"/>
        </w:rPr>
        <w:t xml:space="preserve"> informativo de la Red de Centros de Información de Medicamentos de </w:t>
      </w:r>
      <w:r w:rsidRPr="00FC67BC">
        <w:rPr>
          <w:rFonts w:ascii="Arial" w:hAnsi="Arial" w:cs="Arial"/>
          <w:color w:val="000000" w:themeColor="text1"/>
        </w:rPr>
        <w:t>Latinoamérica</w:t>
      </w:r>
      <w:r w:rsidR="007932D3" w:rsidRPr="00FC67BC">
        <w:rPr>
          <w:rFonts w:ascii="Arial" w:hAnsi="Arial" w:cs="Arial"/>
          <w:color w:val="000000" w:themeColor="text1"/>
        </w:rPr>
        <w:t xml:space="preserve"> y el Caribe</w:t>
      </w:r>
      <w:r w:rsidR="007932D3">
        <w:rPr>
          <w:rFonts w:ascii="Arial" w:hAnsi="Arial" w:cs="Arial"/>
          <w:color w:val="000000" w:themeColor="text1"/>
        </w:rPr>
        <w:t xml:space="preserve"> (RedCIMLAC)</w:t>
      </w:r>
      <w:r w:rsidR="007932D3" w:rsidRPr="00FC67BC">
        <w:rPr>
          <w:rFonts w:ascii="Arial" w:hAnsi="Arial" w:cs="Arial"/>
          <w:color w:val="000000" w:themeColor="text1"/>
        </w:rPr>
        <w:t xml:space="preserve">. Tratamiento Farmacológico para COVID-19, actualización de la evidencia. </w:t>
      </w:r>
      <w:r w:rsidRPr="00FC67BC">
        <w:rPr>
          <w:rFonts w:ascii="Arial" w:hAnsi="Arial" w:cs="Arial"/>
          <w:color w:val="000000" w:themeColor="text1"/>
        </w:rPr>
        <w:t>Año</w:t>
      </w:r>
      <w:r w:rsidR="007932D3" w:rsidRPr="00FC67BC">
        <w:rPr>
          <w:rFonts w:ascii="Arial" w:hAnsi="Arial" w:cs="Arial"/>
          <w:color w:val="000000" w:themeColor="text1"/>
        </w:rPr>
        <w:t xml:space="preserve"> VII - </w:t>
      </w:r>
      <w:r w:rsidRPr="00FC67BC">
        <w:rPr>
          <w:rFonts w:ascii="Arial" w:hAnsi="Arial" w:cs="Arial"/>
          <w:color w:val="000000" w:themeColor="text1"/>
        </w:rPr>
        <w:t>Número</w:t>
      </w:r>
      <w:r w:rsidR="007932D3" w:rsidRPr="00FC67BC">
        <w:rPr>
          <w:rFonts w:ascii="Arial" w:hAnsi="Arial" w:cs="Arial"/>
          <w:color w:val="000000" w:themeColor="text1"/>
        </w:rPr>
        <w:t xml:space="preserve"> 09 - Julio/2020</w:t>
      </w:r>
      <w:r w:rsidR="007932D3">
        <w:rPr>
          <w:rFonts w:ascii="Arial" w:hAnsi="Arial" w:cs="Arial"/>
          <w:color w:val="000000" w:themeColor="text1"/>
        </w:rPr>
        <w:t>.</w:t>
      </w:r>
    </w:p>
    <w:p w14:paraId="795725BD" w14:textId="77777777" w:rsidR="007932D3" w:rsidRPr="007932D3" w:rsidRDefault="007932D3" w:rsidP="007932D3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FC67BC">
        <w:rPr>
          <w:rFonts w:ascii="Arial" w:hAnsi="Arial" w:cs="Arial"/>
          <w:lang w:val="en-US"/>
        </w:rPr>
        <w:t>The Medical Letter on Drugs and Therapeutics. Treatment considered for COVID-19. Update August 27, 2020.</w:t>
      </w:r>
    </w:p>
    <w:p w14:paraId="1695B02E" w14:textId="20E00F12" w:rsidR="007932D3" w:rsidRPr="007932D3" w:rsidRDefault="00482FFB" w:rsidP="007932D3">
      <w:pPr>
        <w:pStyle w:val="Prrafodelista"/>
        <w:numPr>
          <w:ilvl w:val="0"/>
          <w:numId w:val="20"/>
        </w:numPr>
        <w:shd w:val="clear" w:color="auto" w:fill="FFFFFF"/>
        <w:ind w:left="714" w:hanging="357"/>
        <w:jc w:val="both"/>
        <w:rPr>
          <w:rFonts w:ascii="Arial" w:hAnsi="Arial" w:cs="Arial"/>
          <w:lang w:val="en-US"/>
        </w:rPr>
      </w:pPr>
      <w:hyperlink r:id="rId8" w:history="1">
        <w:r w:rsidR="007932D3" w:rsidRPr="007932D3">
          <w:rPr>
            <w:rStyle w:val="Hipervnculo"/>
            <w:rFonts w:ascii="Arial" w:hAnsi="Arial" w:cs="Arial"/>
            <w:lang w:val="en-US"/>
          </w:rPr>
          <w:t>https://clinicaltrials.gov/ct2/results?term=HCQ&amp;cond=COVID19&amp;age_v=&amp;gndr=&amp;type=&amp;rslt=&amp;pha</w:t>
        </w:r>
      </w:hyperlink>
      <w:r w:rsidR="007932D3" w:rsidRPr="007932D3">
        <w:rPr>
          <w:rFonts w:ascii="Arial" w:hAnsi="Arial" w:cs="Arial"/>
          <w:lang w:val="en-US"/>
        </w:rPr>
        <w:t xml:space="preserve">. </w:t>
      </w:r>
      <w:r w:rsidR="007932D3" w:rsidRPr="007932D3">
        <w:rPr>
          <w:rFonts w:ascii="Arial" w:hAnsi="Arial" w:cs="Arial"/>
        </w:rPr>
        <w:t>Recuperado: 02 de septiembre de 2020.</w:t>
      </w:r>
    </w:p>
    <w:p w14:paraId="455FBD0A" w14:textId="225E4BFB" w:rsidR="00841503" w:rsidRPr="007932D3" w:rsidRDefault="00841503" w:rsidP="007932D3">
      <w:pPr>
        <w:pStyle w:val="Prrafodelista"/>
        <w:numPr>
          <w:ilvl w:val="0"/>
          <w:numId w:val="20"/>
        </w:numPr>
        <w:shd w:val="clear" w:color="auto" w:fill="FFFFFF"/>
        <w:ind w:left="714" w:hanging="357"/>
        <w:jc w:val="both"/>
        <w:rPr>
          <w:rFonts w:ascii="Arial" w:hAnsi="Arial" w:cs="Arial"/>
          <w:lang w:val="en-US"/>
        </w:rPr>
      </w:pPr>
      <w:r w:rsidRPr="007932D3">
        <w:rPr>
          <w:rFonts w:ascii="Arial" w:hAnsi="Arial" w:cs="Arial"/>
          <w:lang w:val="en-US"/>
        </w:rPr>
        <w:t xml:space="preserve"> </w:t>
      </w:r>
      <w:hyperlink r:id="rId9" w:history="1">
        <w:r w:rsidRPr="007932D3">
          <w:rPr>
            <w:rStyle w:val="Hipervnculo"/>
            <w:rFonts w:ascii="Arial" w:hAnsi="Arial" w:cs="Arial"/>
            <w:lang w:val="en-US"/>
          </w:rPr>
          <w:t>https://www.fda.gov/drugs-safety-and-availability/fda-cautions-against-use-hydroxychloroquine-or-chloroquine-covid-19-outside-hospital-setting-or-review-hydroxychloroquine-cholorquine-19may2020_Redacted.pds</w:t>
        </w:r>
      </w:hyperlink>
      <w:r w:rsidRPr="007932D3">
        <w:rPr>
          <w:rFonts w:ascii="Arial" w:hAnsi="Arial" w:cs="Arial"/>
          <w:lang w:val="en-US"/>
        </w:rPr>
        <w:t xml:space="preserve">. </w:t>
      </w:r>
      <w:r w:rsidRPr="007932D3">
        <w:rPr>
          <w:rFonts w:ascii="Arial" w:hAnsi="Arial" w:cs="Arial"/>
        </w:rPr>
        <w:t>Recuperado: 02 de septiembre de 2020.</w:t>
      </w:r>
    </w:p>
    <w:sectPr w:rsidR="00841503" w:rsidRPr="007932D3" w:rsidSect="00165569">
      <w:headerReference w:type="even" r:id="rId10"/>
      <w:headerReference w:type="default" r:id="rId11"/>
      <w:footerReference w:type="default" r:id="rId12"/>
      <w:pgSz w:w="12240" w:h="15840"/>
      <w:pgMar w:top="1702" w:right="1418" w:bottom="1135" w:left="1701" w:header="709" w:footer="709" w:gutter="0"/>
      <w:cols w:num="2" w:space="10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A2980" w14:textId="77777777" w:rsidR="00482FFB" w:rsidRDefault="00482FFB" w:rsidP="00387BE7">
      <w:r>
        <w:separator/>
      </w:r>
    </w:p>
  </w:endnote>
  <w:endnote w:type="continuationSeparator" w:id="0">
    <w:p w14:paraId="72B98061" w14:textId="77777777" w:rsidR="00482FFB" w:rsidRDefault="00482FFB" w:rsidP="00387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322273"/>
      <w:docPartObj>
        <w:docPartGallery w:val="Page Numbers (Bottom of Page)"/>
        <w:docPartUnique/>
      </w:docPartObj>
    </w:sdtPr>
    <w:sdtEndPr/>
    <w:sdtContent>
      <w:p w14:paraId="2AA0A358" w14:textId="7E31C516" w:rsidR="00FB4A36" w:rsidRDefault="00FB4A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8D3" w:rsidRPr="00C018D3">
          <w:rPr>
            <w:noProof/>
            <w:lang w:val="es-ES"/>
          </w:rPr>
          <w:t>2</w:t>
        </w:r>
        <w:r>
          <w:fldChar w:fldCharType="end"/>
        </w:r>
      </w:p>
    </w:sdtContent>
  </w:sdt>
  <w:p w14:paraId="43FDF8C0" w14:textId="77777777" w:rsidR="00FB4A36" w:rsidRDefault="00FB4A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ED144" w14:textId="77777777" w:rsidR="00482FFB" w:rsidRDefault="00482FFB" w:rsidP="00387BE7">
      <w:r>
        <w:separator/>
      </w:r>
    </w:p>
  </w:footnote>
  <w:footnote w:type="continuationSeparator" w:id="0">
    <w:p w14:paraId="7F2DE3DD" w14:textId="77777777" w:rsidR="00482FFB" w:rsidRDefault="00482FFB" w:rsidP="00387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63316" w14:textId="77777777" w:rsidR="007818A4" w:rsidRDefault="007818A4" w:rsidP="006371B7">
    <w:pPr>
      <w:pStyle w:val="Encabezado"/>
      <w:framePr w:wrap="around" w:vAnchor="text" w:hAnchor="margin" w:xAlign="right" w:y="1"/>
      <w:rPr>
        <w:rStyle w:val="Nmerodepgina"/>
      </w:rPr>
    </w:pPr>
  </w:p>
  <w:p w14:paraId="4F58A170" w14:textId="77777777" w:rsidR="007818A4" w:rsidRDefault="007818A4" w:rsidP="00387BE7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CEE55" w14:textId="05F3E999" w:rsidR="007818A4" w:rsidRDefault="00165569" w:rsidP="00387BE7">
    <w:pPr>
      <w:pStyle w:val="Encabezado"/>
      <w:ind w:right="360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BBE702" wp14:editId="611FCD45">
              <wp:simplePos x="0" y="0"/>
              <wp:positionH relativeFrom="column">
                <wp:posOffset>158115</wp:posOffset>
              </wp:positionH>
              <wp:positionV relativeFrom="paragraph">
                <wp:posOffset>311785</wp:posOffset>
              </wp:positionV>
              <wp:extent cx="5572125" cy="24765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21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C58B25" w14:textId="649D14F5" w:rsidR="00165569" w:rsidRPr="00165569" w:rsidRDefault="00165569" w:rsidP="00165569">
                          <w:pPr>
                            <w:jc w:val="center"/>
                            <w:rPr>
                              <w:lang w:val="es-PA"/>
                            </w:rPr>
                          </w:pPr>
                          <w:r>
                            <w:rPr>
                              <w:lang w:val="es-PA"/>
                            </w:rPr>
                            <w:t>CENTRO DE INVESTIGACIÓN E INFORMACIÓN DE MEDICAMENTOS Y TÓXICOS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BBE702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6" type="#_x0000_t202" style="position:absolute;margin-left:12.45pt;margin-top:24.55pt;width:438.7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" filled="f" stroked="f" strokeweight=".5pt">
              <v:textbox>
                <w:txbxContent>
                  <w:p w14:paraId="11C58B25" w14:textId="649D14F5" w:rsidR="00165569" w:rsidRPr="00165569" w:rsidRDefault="00165569" w:rsidP="00165569">
                    <w:pPr>
                      <w:jc w:val="center"/>
                      <w:rPr>
                        <w:lang w:val="es-PA"/>
                      </w:rPr>
                    </w:pPr>
                    <w:r>
                      <w:rPr>
                        <w:lang w:val="es-PA"/>
                      </w:rPr>
                      <w:t>CENTRO DE INVESTIGACIÓN E INFORMACIÓN DE MEDICAMENTOS Y TÓXICOS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8310F5" wp14:editId="78A0923B">
              <wp:simplePos x="0" y="0"/>
              <wp:positionH relativeFrom="column">
                <wp:posOffset>1748790</wp:posOffset>
              </wp:positionH>
              <wp:positionV relativeFrom="paragraph">
                <wp:posOffset>-50165</wp:posOffset>
              </wp:positionV>
              <wp:extent cx="2514600" cy="467360"/>
              <wp:effectExtent l="0" t="0" r="0" b="889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36EACB" w14:textId="47D567F2" w:rsidR="00165569" w:rsidRPr="00165569" w:rsidRDefault="00165569" w:rsidP="00165569">
                          <w:pPr>
                            <w:pStyle w:val="Encabezado"/>
                            <w:ind w:right="360"/>
                            <w:jc w:val="center"/>
                            <w:rPr>
                              <w:b/>
                              <w:noProof/>
                              <w:color w:val="17365D" w:themeColor="text2" w:themeShade="BF"/>
                              <w:sz w:val="48"/>
                              <w:szCs w:val="48"/>
                              <w:lang w:val="es-PA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65569">
                            <w:rPr>
                              <w:b/>
                              <w:noProof/>
                              <w:color w:val="17365D" w:themeColor="text2" w:themeShade="BF"/>
                              <w:sz w:val="48"/>
                              <w:szCs w:val="48"/>
                              <w:lang w:val="es-PA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 I I M E 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A8310F5" id="Cuadro de texto 1" o:spid="_x0000_s1027" type="#_x0000_t202" style="position:absolute;margin-left:137.7pt;margin-top:-3.95pt;width:198pt;height:36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" filled="f" stroked="f">
              <v:textbox style="mso-fit-shape-to-text:t">
                <w:txbxContent>
                  <w:p w14:paraId="5836EACB" w14:textId="47D567F2" w:rsidR="00165569" w:rsidRPr="00165569" w:rsidRDefault="00165569" w:rsidP="00165569">
                    <w:pPr>
                      <w:pStyle w:val="Encabezado"/>
                      <w:ind w:right="360"/>
                      <w:jc w:val="center"/>
                      <w:rPr>
                        <w:b/>
                        <w:noProof/>
                        <w:color w:val="17365D" w:themeColor="text2" w:themeShade="BF"/>
                        <w:sz w:val="48"/>
                        <w:szCs w:val="48"/>
                        <w:lang w:val="es-PA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165569">
                      <w:rPr>
                        <w:b/>
                        <w:noProof/>
                        <w:color w:val="17365D" w:themeColor="text2" w:themeShade="BF"/>
                        <w:sz w:val="48"/>
                        <w:szCs w:val="48"/>
                        <w:lang w:val="es-PA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C I I M E 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E1124D" wp14:editId="4931DAEC">
              <wp:simplePos x="0" y="0"/>
              <wp:positionH relativeFrom="column">
                <wp:posOffset>5063490</wp:posOffset>
              </wp:positionH>
              <wp:positionV relativeFrom="paragraph">
                <wp:posOffset>-393065</wp:posOffset>
              </wp:positionV>
              <wp:extent cx="846455" cy="74612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6455" cy="746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3ED1AC" w14:textId="6A21F27F" w:rsidR="00FB4A36" w:rsidRDefault="00FB4A36">
                          <w:r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 wp14:anchorId="52001D65" wp14:editId="1A338FE3">
                                <wp:extent cx="657128" cy="648809"/>
                                <wp:effectExtent l="0" t="0" r="0" b="0"/>
                                <wp:docPr id="49" name="Imagen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297" cy="661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E1124D" id="Cuadro de texto 8" o:spid="_x0000_s1028" type="#_x0000_t202" style="position:absolute;margin-left:398.7pt;margin-top:-30.95pt;width:66.65pt;height:58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" filled="f" stroked="f" strokeweight=".5pt">
              <v:textbox style="mso-fit-shape-to-text:t">
                <w:txbxContent>
                  <w:p w14:paraId="6D3ED1AC" w14:textId="6A21F27F" w:rsidR="00FB4A36" w:rsidRDefault="00FB4A36">
                    <w:r>
                      <w:rPr>
                        <w:noProof/>
                        <w:lang w:val="es-ES"/>
                      </w:rPr>
                      <w:drawing>
                        <wp:inline distT="0" distB="0" distL="0" distR="0" wp14:anchorId="52001D65" wp14:editId="1A338FE3">
                          <wp:extent cx="657128" cy="648809"/>
                          <wp:effectExtent l="0" t="0" r="0" b="0"/>
                          <wp:docPr id="49" name="Imagen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297" cy="661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4D4E80" wp14:editId="4E142552">
              <wp:simplePos x="0" y="0"/>
              <wp:positionH relativeFrom="column">
                <wp:posOffset>1609725</wp:posOffset>
              </wp:positionH>
              <wp:positionV relativeFrom="paragraph">
                <wp:posOffset>-181610</wp:posOffset>
              </wp:positionV>
              <wp:extent cx="2524125" cy="304800"/>
              <wp:effectExtent l="0" t="0" r="0" b="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41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E87DA4" w14:textId="1D040CDF" w:rsidR="00165569" w:rsidRPr="00165569" w:rsidRDefault="00165569" w:rsidP="0016556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7365D" w:themeColor="text2" w:themeShade="BF"/>
                              <w:lang w:val="es-PA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7365D" w:themeColor="text2" w:themeShade="BF"/>
                              <w:lang w:val="es-PA"/>
                            </w:rPr>
                            <w:t>FACULTAD DE FARMACIA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4D4E80" id="Cuadro de texto 27" o:spid="_x0000_s1029" type="#_x0000_t202" style="position:absolute;margin-left:126.75pt;margin-top:-14.3pt;width:198.7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" filled="f" stroked="f" strokeweight=".5pt">
              <v:textbox>
                <w:txbxContent>
                  <w:p w14:paraId="67E87DA4" w14:textId="1D040CDF" w:rsidR="00165569" w:rsidRPr="00165569" w:rsidRDefault="00165569" w:rsidP="0016556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17365D" w:themeColor="text2" w:themeShade="BF"/>
                        <w:lang w:val="es-PA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7365D" w:themeColor="text2" w:themeShade="BF"/>
                        <w:lang w:val="es-PA"/>
                      </w:rPr>
                      <w:t>FACULTAD DE FARMACIA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BB5055" wp14:editId="467C5AE4">
              <wp:simplePos x="0" y="0"/>
              <wp:positionH relativeFrom="column">
                <wp:posOffset>-60960</wp:posOffset>
              </wp:positionH>
              <wp:positionV relativeFrom="paragraph">
                <wp:posOffset>-412115</wp:posOffset>
              </wp:positionV>
              <wp:extent cx="1076325" cy="100012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325" cy="1000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13FDE" w14:textId="34523F87" w:rsidR="00FB4A36" w:rsidRDefault="00FB4A36">
                          <w:r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 wp14:anchorId="5BEBB789" wp14:editId="2FDFC8C4">
                                <wp:extent cx="666750" cy="672298"/>
                                <wp:effectExtent l="0" t="0" r="0" b="0"/>
                                <wp:docPr id="50" name="Imagen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0200" cy="695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B5055" id="Cuadro de texto 2" o:spid="_x0000_s1030" type="#_x0000_t202" style="position:absolute;margin-left:-4.8pt;margin-top:-32.45pt;width:84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" filled="f" stroked="f" strokeweight=".5pt">
              <v:textbox>
                <w:txbxContent>
                  <w:p w14:paraId="53313FDE" w14:textId="34523F87" w:rsidR="00FB4A36" w:rsidRDefault="00FB4A36">
                    <w:r>
                      <w:rPr>
                        <w:noProof/>
                        <w:lang w:val="es-ES"/>
                      </w:rPr>
                      <w:drawing>
                        <wp:inline distT="0" distB="0" distL="0" distR="0" wp14:anchorId="5BEBB789" wp14:editId="2FDFC8C4">
                          <wp:extent cx="666750" cy="672298"/>
                          <wp:effectExtent l="0" t="0" r="0" b="0"/>
                          <wp:docPr id="50" name="Imagen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0200" cy="695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284E00" wp14:editId="07A6CB6A">
              <wp:simplePos x="0" y="0"/>
              <wp:positionH relativeFrom="column">
                <wp:posOffset>1615440</wp:posOffset>
              </wp:positionH>
              <wp:positionV relativeFrom="paragraph">
                <wp:posOffset>-374015</wp:posOffset>
              </wp:positionV>
              <wp:extent cx="2524125" cy="304800"/>
              <wp:effectExtent l="0" t="0" r="0" b="0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41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81C63C" w14:textId="7E8ED051" w:rsidR="00165569" w:rsidRPr="00165569" w:rsidRDefault="00165569" w:rsidP="0016556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17365D" w:themeColor="text2" w:themeShade="BF"/>
                              <w:lang w:val="es-PA"/>
                            </w:rPr>
                          </w:pPr>
                          <w:r w:rsidRPr="00165569">
                            <w:rPr>
                              <w:rFonts w:ascii="Arial" w:hAnsi="Arial" w:cs="Arial"/>
                              <w:b/>
                              <w:bCs/>
                              <w:color w:val="17365D" w:themeColor="text2" w:themeShade="BF"/>
                              <w:lang w:val="es-PA"/>
                            </w:rPr>
                            <w:t>UNIVERSIDAD DE PANAMÁ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284E00" id="Cuadro de texto 26" o:spid="_x0000_s1031" type="#_x0000_t202" style="position:absolute;margin-left:127.2pt;margin-top:-29.45pt;width:198.7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" filled="f" stroked="f" strokeweight=".5pt">
              <v:textbox>
                <w:txbxContent>
                  <w:p w14:paraId="0E81C63C" w14:textId="7E8ED051" w:rsidR="00165569" w:rsidRPr="00165569" w:rsidRDefault="00165569" w:rsidP="0016556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17365D" w:themeColor="text2" w:themeShade="BF"/>
                        <w:lang w:val="es-PA"/>
                      </w:rPr>
                    </w:pPr>
                    <w:r w:rsidRPr="00165569">
                      <w:rPr>
                        <w:rFonts w:ascii="Arial" w:hAnsi="Arial" w:cs="Arial"/>
                        <w:b/>
                        <w:bCs/>
                        <w:color w:val="17365D" w:themeColor="text2" w:themeShade="BF"/>
                        <w:lang w:val="es-PA"/>
                      </w:rPr>
                      <w:t>UNIVERSIDAD DE PANAMÁ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C9D"/>
    <w:multiLevelType w:val="multilevel"/>
    <w:tmpl w:val="F168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07232"/>
    <w:multiLevelType w:val="hybridMultilevel"/>
    <w:tmpl w:val="A0B006BC"/>
    <w:lvl w:ilvl="0" w:tplc="0C0A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" w15:restartNumberingAfterBreak="0">
    <w:nsid w:val="062A27D2"/>
    <w:multiLevelType w:val="multilevel"/>
    <w:tmpl w:val="C448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10BF8"/>
    <w:multiLevelType w:val="hybridMultilevel"/>
    <w:tmpl w:val="78303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60F8D"/>
    <w:multiLevelType w:val="multilevel"/>
    <w:tmpl w:val="926C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C6AD6"/>
    <w:multiLevelType w:val="hybridMultilevel"/>
    <w:tmpl w:val="28AA84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C1454"/>
    <w:multiLevelType w:val="multilevel"/>
    <w:tmpl w:val="2F7A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287A5F"/>
    <w:multiLevelType w:val="multilevel"/>
    <w:tmpl w:val="B298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07644"/>
    <w:multiLevelType w:val="hybridMultilevel"/>
    <w:tmpl w:val="0ED0B0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918DB"/>
    <w:multiLevelType w:val="hybridMultilevel"/>
    <w:tmpl w:val="6458E2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563AE"/>
    <w:multiLevelType w:val="multilevel"/>
    <w:tmpl w:val="95B8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650A01"/>
    <w:multiLevelType w:val="hybridMultilevel"/>
    <w:tmpl w:val="FF725BC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47243"/>
    <w:multiLevelType w:val="hybridMultilevel"/>
    <w:tmpl w:val="28AA84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851D0"/>
    <w:multiLevelType w:val="hybridMultilevel"/>
    <w:tmpl w:val="99DAC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B2A9C"/>
    <w:multiLevelType w:val="hybridMultilevel"/>
    <w:tmpl w:val="DA209B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30968"/>
    <w:multiLevelType w:val="hybridMultilevel"/>
    <w:tmpl w:val="0ED0B0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C47FF"/>
    <w:multiLevelType w:val="hybridMultilevel"/>
    <w:tmpl w:val="C0E48AB4"/>
    <w:lvl w:ilvl="0" w:tplc="C6CE43D6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02597"/>
    <w:multiLevelType w:val="multilevel"/>
    <w:tmpl w:val="A250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E64832"/>
    <w:multiLevelType w:val="multilevel"/>
    <w:tmpl w:val="AE04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A82315"/>
    <w:multiLevelType w:val="hybridMultilevel"/>
    <w:tmpl w:val="F8FA59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274DA"/>
    <w:multiLevelType w:val="hybridMultilevel"/>
    <w:tmpl w:val="2C86789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C20289"/>
    <w:multiLevelType w:val="hybridMultilevel"/>
    <w:tmpl w:val="E692E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4"/>
  </w:num>
  <w:num w:numId="4">
    <w:abstractNumId w:val="7"/>
  </w:num>
  <w:num w:numId="5">
    <w:abstractNumId w:val="18"/>
  </w:num>
  <w:num w:numId="6">
    <w:abstractNumId w:val="0"/>
  </w:num>
  <w:num w:numId="7">
    <w:abstractNumId w:val="10"/>
  </w:num>
  <w:num w:numId="8">
    <w:abstractNumId w:val="6"/>
  </w:num>
  <w:num w:numId="9">
    <w:abstractNumId w:val="21"/>
  </w:num>
  <w:num w:numId="10">
    <w:abstractNumId w:val="9"/>
  </w:num>
  <w:num w:numId="11">
    <w:abstractNumId w:val="1"/>
  </w:num>
  <w:num w:numId="12">
    <w:abstractNumId w:val="19"/>
  </w:num>
  <w:num w:numId="13">
    <w:abstractNumId w:val="3"/>
  </w:num>
  <w:num w:numId="14">
    <w:abstractNumId w:val="13"/>
  </w:num>
  <w:num w:numId="15">
    <w:abstractNumId w:val="20"/>
  </w:num>
  <w:num w:numId="16">
    <w:abstractNumId w:val="15"/>
  </w:num>
  <w:num w:numId="17">
    <w:abstractNumId w:val="8"/>
  </w:num>
  <w:num w:numId="18">
    <w:abstractNumId w:val="16"/>
  </w:num>
  <w:num w:numId="19">
    <w:abstractNumId w:val="14"/>
  </w:num>
  <w:num w:numId="20">
    <w:abstractNumId w:val="12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F"/>
    <w:rsid w:val="000A5421"/>
    <w:rsid w:val="00116B06"/>
    <w:rsid w:val="00165569"/>
    <w:rsid w:val="00195A18"/>
    <w:rsid w:val="001E272B"/>
    <w:rsid w:val="001F083A"/>
    <w:rsid w:val="00207FE0"/>
    <w:rsid w:val="00216DDF"/>
    <w:rsid w:val="00227EBB"/>
    <w:rsid w:val="00231B9F"/>
    <w:rsid w:val="00237331"/>
    <w:rsid w:val="00284C1F"/>
    <w:rsid w:val="002A1759"/>
    <w:rsid w:val="002A4FC5"/>
    <w:rsid w:val="002D6D82"/>
    <w:rsid w:val="002E1744"/>
    <w:rsid w:val="0031086C"/>
    <w:rsid w:val="00313839"/>
    <w:rsid w:val="0032785F"/>
    <w:rsid w:val="00330629"/>
    <w:rsid w:val="00356A98"/>
    <w:rsid w:val="00374094"/>
    <w:rsid w:val="00387BE7"/>
    <w:rsid w:val="003B5435"/>
    <w:rsid w:val="0043208F"/>
    <w:rsid w:val="004751F9"/>
    <w:rsid w:val="004754FB"/>
    <w:rsid w:val="00482FFB"/>
    <w:rsid w:val="004C476A"/>
    <w:rsid w:val="004F08EA"/>
    <w:rsid w:val="00520079"/>
    <w:rsid w:val="0053395F"/>
    <w:rsid w:val="005356BF"/>
    <w:rsid w:val="00571999"/>
    <w:rsid w:val="00576F58"/>
    <w:rsid w:val="0059644B"/>
    <w:rsid w:val="006008F4"/>
    <w:rsid w:val="006371B7"/>
    <w:rsid w:val="00691A44"/>
    <w:rsid w:val="006C6F8F"/>
    <w:rsid w:val="006D0DBE"/>
    <w:rsid w:val="006E45BE"/>
    <w:rsid w:val="006E7DB2"/>
    <w:rsid w:val="007420E5"/>
    <w:rsid w:val="00781040"/>
    <w:rsid w:val="007818A4"/>
    <w:rsid w:val="007932D3"/>
    <w:rsid w:val="007B3F68"/>
    <w:rsid w:val="00841503"/>
    <w:rsid w:val="008A395D"/>
    <w:rsid w:val="008C4B4A"/>
    <w:rsid w:val="008D6850"/>
    <w:rsid w:val="008F2E4B"/>
    <w:rsid w:val="008F35B1"/>
    <w:rsid w:val="00934710"/>
    <w:rsid w:val="00952D81"/>
    <w:rsid w:val="00955699"/>
    <w:rsid w:val="00A247A7"/>
    <w:rsid w:val="00A53EDB"/>
    <w:rsid w:val="00A54F96"/>
    <w:rsid w:val="00A75ED1"/>
    <w:rsid w:val="00AA008F"/>
    <w:rsid w:val="00AB4E92"/>
    <w:rsid w:val="00AF03EF"/>
    <w:rsid w:val="00B55730"/>
    <w:rsid w:val="00B66873"/>
    <w:rsid w:val="00BB0D27"/>
    <w:rsid w:val="00C018D3"/>
    <w:rsid w:val="00C11EED"/>
    <w:rsid w:val="00C30C7B"/>
    <w:rsid w:val="00C37FA4"/>
    <w:rsid w:val="00C40354"/>
    <w:rsid w:val="00C51912"/>
    <w:rsid w:val="00CA72BC"/>
    <w:rsid w:val="00CC26C2"/>
    <w:rsid w:val="00CF50A3"/>
    <w:rsid w:val="00D11344"/>
    <w:rsid w:val="00D24F44"/>
    <w:rsid w:val="00D419DC"/>
    <w:rsid w:val="00D50D3E"/>
    <w:rsid w:val="00D6323A"/>
    <w:rsid w:val="00D6764B"/>
    <w:rsid w:val="00DD2B0E"/>
    <w:rsid w:val="00E50D16"/>
    <w:rsid w:val="00E64BF2"/>
    <w:rsid w:val="00E6775F"/>
    <w:rsid w:val="00E84DC5"/>
    <w:rsid w:val="00E91518"/>
    <w:rsid w:val="00E93C38"/>
    <w:rsid w:val="00F112FF"/>
    <w:rsid w:val="00F472ED"/>
    <w:rsid w:val="00F475ED"/>
    <w:rsid w:val="00F650C1"/>
    <w:rsid w:val="00F94AD3"/>
    <w:rsid w:val="00FB4A36"/>
    <w:rsid w:val="00FB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FCB778"/>
  <w14:defaultImageDpi w14:val="300"/>
  <w15:docId w15:val="{5AB09F94-7332-FD42-BA22-556425B6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138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9"/>
    <w:qFormat/>
    <w:rsid w:val="00216DD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216DDF"/>
    <w:rPr>
      <w:rFonts w:ascii="Times" w:hAnsi="Times"/>
      <w:b/>
      <w:bCs/>
    </w:rPr>
  </w:style>
  <w:style w:type="character" w:styleId="Textoennegrita">
    <w:name w:val="Strong"/>
    <w:basedOn w:val="Fuentedeprrafopredeter"/>
    <w:uiPriority w:val="22"/>
    <w:qFormat/>
    <w:rsid w:val="00216DDF"/>
    <w:rPr>
      <w:b/>
      <w:bCs/>
    </w:rPr>
  </w:style>
  <w:style w:type="character" w:customStyle="1" w:styleId="apple-converted-space">
    <w:name w:val="apple-converted-space"/>
    <w:basedOn w:val="Fuentedeprrafopredeter"/>
    <w:rsid w:val="00216DDF"/>
  </w:style>
  <w:style w:type="character" w:styleId="Hipervnculo">
    <w:name w:val="Hyperlink"/>
    <w:basedOn w:val="Fuentedeprrafopredeter"/>
    <w:uiPriority w:val="99"/>
    <w:unhideWhenUsed/>
    <w:rsid w:val="00216DD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6D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313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reakword">
    <w:name w:val="breakword"/>
    <w:basedOn w:val="Fuentedeprrafopredeter"/>
    <w:rsid w:val="00374094"/>
  </w:style>
  <w:style w:type="character" w:customStyle="1" w:styleId="sr-only">
    <w:name w:val="sr-only"/>
    <w:basedOn w:val="Fuentedeprrafopredeter"/>
    <w:rsid w:val="00374094"/>
  </w:style>
  <w:style w:type="character" w:customStyle="1" w:styleId="btn-text">
    <w:name w:val="btn-text"/>
    <w:basedOn w:val="Fuentedeprrafopredeter"/>
    <w:rsid w:val="007B3F68"/>
  </w:style>
  <w:style w:type="paragraph" w:styleId="Prrafodelista">
    <w:name w:val="List Paragraph"/>
    <w:basedOn w:val="Normal"/>
    <w:uiPriority w:val="34"/>
    <w:qFormat/>
    <w:rsid w:val="006D0DB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55699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569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5699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5699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569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569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9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87B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BE7"/>
  </w:style>
  <w:style w:type="character" w:styleId="Nmerodepgina">
    <w:name w:val="page number"/>
    <w:basedOn w:val="Fuentedeprrafopredeter"/>
    <w:uiPriority w:val="99"/>
    <w:semiHidden/>
    <w:unhideWhenUsed/>
    <w:rsid w:val="00387BE7"/>
  </w:style>
  <w:style w:type="paragraph" w:styleId="Piedepgina">
    <w:name w:val="footer"/>
    <w:basedOn w:val="Normal"/>
    <w:link w:val="PiedepginaCar"/>
    <w:uiPriority w:val="99"/>
    <w:unhideWhenUsed/>
    <w:rsid w:val="00FB4A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A36"/>
  </w:style>
  <w:style w:type="character" w:styleId="Mencinsinresolver">
    <w:name w:val="Unresolved Mention"/>
    <w:basedOn w:val="Fuentedeprrafopredeter"/>
    <w:uiPriority w:val="99"/>
    <w:semiHidden/>
    <w:unhideWhenUsed/>
    <w:rsid w:val="00793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6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" w:color="auto"/>
            <w:right w:val="none" w:sz="0" w:space="0" w:color="auto"/>
          </w:divBdr>
          <w:divsChild>
            <w:div w:id="37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4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031049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7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2666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9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540710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" w:color="auto"/>
            <w:right w:val="none" w:sz="0" w:space="0" w:color="auto"/>
          </w:divBdr>
          <w:divsChild>
            <w:div w:id="14757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2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0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nicaltrials.gov/ct2/results?term=HCQ&amp;cond=COVID19&amp;age_v=&amp;gndr=&amp;type=&amp;rslt=&amp;ph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da.gov/drugs-safety-and-availability/fda-cautions-against-use-hydroxychloroquine-or-chloroquine-covid-19-outside-hospital-setting-or-review-hydroxychloroquine-cholorquine-19may2020_Redacted.pd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C006C5-DEEE-E74F-B85B-65EA206A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Tristàn</dc:creator>
  <cp:keywords/>
  <dc:description/>
  <cp:lastModifiedBy>lisbeth.tristan@gmail.com</cp:lastModifiedBy>
  <cp:revision>2</cp:revision>
  <cp:lastPrinted>2020-04-21T17:21:00Z</cp:lastPrinted>
  <dcterms:created xsi:type="dcterms:W3CDTF">2020-09-22T18:24:00Z</dcterms:created>
  <dcterms:modified xsi:type="dcterms:W3CDTF">2020-09-22T18:24:00Z</dcterms:modified>
</cp:coreProperties>
</file>